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E4" w:rsidRDefault="00554BE4" w:rsidP="00554B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Министерство просвещения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Ярославской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</w:p>
    <w:p w:rsidR="0036519F" w:rsidRDefault="00554BE4" w:rsidP="00554BE4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Вареговская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сош</w:t>
      </w:r>
      <w:proofErr w:type="spellEnd"/>
    </w:p>
    <w:p w:rsidR="0036519F" w:rsidRDefault="0036519F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201"/>
        <w:tblW w:w="10569" w:type="dxa"/>
        <w:tblLook w:val="04A0" w:firstRow="1" w:lastRow="0" w:firstColumn="1" w:lastColumn="0" w:noHBand="0" w:noVBand="1"/>
      </w:tblPr>
      <w:tblGrid>
        <w:gridCol w:w="4615"/>
        <w:gridCol w:w="1843"/>
        <w:gridCol w:w="4111"/>
      </w:tblGrid>
      <w:tr w:rsidR="0036519F" w:rsidTr="0036519F">
        <w:tc>
          <w:tcPr>
            <w:tcW w:w="461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от___ «____»20___№______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СОГЛАСОВАНО</w:t>
            </w: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(протокол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 «____»20___№___</w:t>
            </w:r>
          </w:p>
        </w:tc>
        <w:tc>
          <w:tcPr>
            <w:tcW w:w="184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hanging="490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УТВЕРЖДЕНО</w:t>
            </w: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19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Директор МОУ </w:t>
            </w:r>
            <w:proofErr w:type="spellStart"/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Вареговская</w:t>
            </w:r>
            <w:proofErr w:type="spellEnd"/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</w:t>
            </w:r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9F" w:rsidRDefault="0036519F" w:rsidP="0036519F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19F" w:rsidRDefault="0036519F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классов среднего общего образования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8A" w:rsidRDefault="004F058A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8A" w:rsidRDefault="004F058A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8A" w:rsidRDefault="004F058A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8A" w:rsidRDefault="004F058A" w:rsidP="0036519F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6519F" w:rsidRDefault="0036519F" w:rsidP="003651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9F" w:rsidRDefault="00554BE4" w:rsidP="0036519F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С.Варегово</w:t>
      </w:r>
      <w:proofErr w:type="spellEnd"/>
      <w:r w:rsidR="00365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519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</w:t>
      </w:r>
    </w:p>
    <w:p w:rsidR="00554BE4" w:rsidRDefault="00554BE4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1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10—11 классов данная цель конкретизируется и связывается с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Воспитывающая направленность программы заключается в содействии активной социализации школьников на основе формирования научных представлений о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учётом климатических условий, лыжная подготовка может быть заменена либо другими зимними видами спорта, либо видами спорта из перечня модульных программ по физической культуре, рекомендованных Министерством просвещения Российской Федерации. 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7 сентября 2010 г. № ИК-13 74/19 и 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13 сентября 2010 г. № ЮН-02-09/4912 «О методических указаниях по использованию спортивных объектов в качестве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межшкольных центров для проведения школьных уроков физической культуры и внешкольной спортивной работы».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5C62AB" w:rsidRDefault="0036519F" w:rsidP="005C62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="005C62AB" w:rsidRPr="005C62AB">
        <w:rPr>
          <w:rFonts w:ascii="Times New Roman" w:hAnsi="Times New Roman" w:cs="Times New Roman"/>
          <w:sz w:val="24"/>
          <w:szCs w:val="24"/>
        </w:rPr>
        <w:t xml:space="preserve"> </w:t>
      </w:r>
      <w:r w:rsidR="005C62AB">
        <w:rPr>
          <w:rFonts w:ascii="Times New Roman" w:hAnsi="Times New Roman" w:cs="Times New Roman"/>
          <w:sz w:val="24"/>
          <w:szCs w:val="24"/>
        </w:rPr>
        <w:t>10  класс  — 68  ч; 11  класс — 68 ч.</w:t>
      </w:r>
    </w:p>
    <w:p w:rsidR="005C62AB" w:rsidRDefault="005C62AB" w:rsidP="005C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 части духовно-нравственного воспитания должны отражать: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давать оценку новым ситуациям, оценивать приобретённый опыт;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общение: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самостоятельных занятий кондиционной тренировкой, оценке её эффективности; </w:t>
      </w:r>
    </w:p>
    <w:p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(футбол, волейбол, баскетбол);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:rsidR="0036519F" w:rsidRPr="00B86462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</w:r>
      <w:r w:rsidRPr="00B86462">
        <w:rPr>
          <w:rFonts w:ascii="Times New Roman" w:hAnsi="Times New Roman" w:cs="Times New Roman"/>
          <w:sz w:val="24"/>
          <w:szCs w:val="24"/>
        </w:rPr>
        <w:t xml:space="preserve">тренировкой; 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6519F" w:rsidRP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36519F" w:rsidRPr="00047E56" w:rsidRDefault="0036519F" w:rsidP="00047E56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</w:t>
      </w:r>
      <w:r w:rsidRPr="00047E56">
        <w:rPr>
          <w:rFonts w:ascii="Times New Roman" w:hAnsi="Times New Roman" w:cs="Times New Roman"/>
          <w:sz w:val="24"/>
          <w:szCs w:val="24"/>
        </w:rPr>
        <w:t xml:space="preserve">баскетбол); </w:t>
      </w:r>
    </w:p>
    <w:p w:rsid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-ориентированной физической культуры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i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«Плавательная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Спортивные и прикладные упражнения в плавании: брасс на спине; плавание на боку; прыжки в воду вниз ногами.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их проведения (методика Э. Джекобсона; аутогенная тренировка И. Шульца; дыхательная гимнастика А. Н. Стрельниковой;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синхрогимнастика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по методу «Ключ»).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="003A01E4">
        <w:rPr>
          <w:rFonts w:ascii="Times New Roman" w:hAnsi="Times New Roman" w:cs="Times New Roman"/>
          <w:sz w:val="24"/>
          <w:szCs w:val="24"/>
        </w:rPr>
        <w:t xml:space="preserve">оздействие на организм </w:t>
      </w:r>
      <w:proofErr w:type="spellStart"/>
      <w:r w:rsidR="003A01E4">
        <w:rPr>
          <w:rFonts w:ascii="Times New Roman" w:hAnsi="Times New Roman" w:cs="Times New Roman"/>
          <w:sz w:val="24"/>
          <w:szCs w:val="24"/>
        </w:rPr>
        <w:t>человека.</w:t>
      </w:r>
      <w:r w:rsidR="003A01E4" w:rsidRPr="0036519F">
        <w:rPr>
          <w:rFonts w:ascii="Times New Roman" w:hAnsi="Times New Roman" w:cs="Times New Roman"/>
          <w:sz w:val="24"/>
          <w:szCs w:val="24"/>
        </w:rPr>
        <w:t>Банные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процедуры, их назначение и правила проведения, основные способы парения.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Физическое совершенствование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острых респираторных заболеваний; целлюлита; снижения массы тела.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5C62AB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="0036519F"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«Атлетические единоборства»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стойки, захваты, броски).</w:t>
      </w:r>
    </w:p>
    <w:p w:rsidR="0036519F" w:rsidRPr="005C62AB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C62AB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Общая физическая подготовка.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движений.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</w:t>
      </w:r>
      <w:r w:rsid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Повторный бег и передвижение на лыжах в режимах максимальной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гимнастической палки).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разбега.Касание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Модуль «Лёгкая атлетика» </w:t>
      </w: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  <w:r w:rsidRPr="0036519F">
        <w:rPr>
          <w:rFonts w:ascii="Times New Roman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«Зимние виды спорта»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«Спортивные игры»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 с разбега. Прыжки с поворотами на точность приземления.</w:t>
      </w:r>
      <w:r w:rsidR="001E1521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вмаксимальном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64BD7" w:rsidRDefault="00564BD7"/>
    <w:p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564BD7" w:rsidRPr="00564BD7" w:rsidTr="007105B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:rsidTr="007105B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системной организации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средство укрепления здоровья человека. Здоровье как базовая ценность человека и общества.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связь современных оздоровительных систем физической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самостоятельных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вкой, оценке её 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866595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 опорно-двигательного аппарата при длительной работе за компьютером.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другими учащимися, сравнивают их с образцами и выявляют возможные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:rsidTr="008A2C84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3A01E4" w:rsidRPr="0036519F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передвижение на лыжах одновременным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1E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стили плавания.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разученные упражнения в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1E4" w:rsidRPr="003A01E4">
              <w:rPr>
                <w:rFonts w:ascii="Times New Roman" w:hAnsi="Times New Roman" w:cs="Times New Roman"/>
                <w:sz w:val="20"/>
                <w:szCs w:val="20"/>
              </w:rPr>
              <w:t>Старты, повороты</w:t>
            </w:r>
            <w:r w:rsidR="003A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на воде.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одной и приземление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 w:rsid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A2C84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8A2C8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8A2C84" w:rsidRPr="008A2C84" w:rsidRDefault="008A2C84" w:rsidP="008A2C84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C84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047E56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4BD7" w:rsidRPr="00564BD7" w:rsidRDefault="00BD72CE" w:rsidP="00564B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ПОУРОЧНОЕ ПЛАНИРОВАНИЕ 10 </w:t>
      </w:r>
      <w:r w:rsidR="00564BD7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564BD7" w:rsidRPr="00CC54CD" w:rsidTr="00272BE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64BD7" w:rsidRPr="00CC54CD" w:rsidTr="00272BE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социальное явление. Истоки возникновения культуры как социального явления. Культура как способ развития человека. Физическая культура как явление культуры, связанное с преобразованием физической природы человека.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системной организации физической культуры в современном обществе.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-ориентированной физической культуры.</w:t>
            </w:r>
          </w:p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 СССР и РФ.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развития физической культуры в Российской Федерации.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средство укрепления здоровья человека. 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Техника безопасности на уроках. Беговые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</w:t>
            </w:r>
            <w:r w:rsidR="00272BEE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Старт из разных положений </w:t>
            </w:r>
            <w:r w:rsidR="00D2600F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качеств.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 деятельности в структурной организации образа жизни современного человека. Основные типы и виды активного отдыха.</w:t>
            </w:r>
          </w:p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Кондиционная тренировка.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учащихся, как необходимое условие для организации самостоятельных занятий оздоровительной физической культурой. Контроль текущего состояния организма. Оперативный контроль в системе самостоятельных занятий кондиционной тренировкой.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B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Подвижные игры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уроках. Виды единоборств.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="00BD72CE"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  Правила соревнований.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64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</w:t>
            </w:r>
            <w:r w:rsidR="00B012FB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техники безопасности на уроках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1986"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641986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B012FB" w:rsidRPr="00CC54CD">
              <w:rPr>
                <w:rFonts w:ascii="Times New Roman" w:hAnsi="Times New Roman" w:cs="Times New Roman"/>
                <w:sz w:val="24"/>
                <w:szCs w:val="24"/>
              </w:rPr>
              <w:t>совая подготовка. Бег на длинные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012FB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 Метание гранаты на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«Лёгкая атлетика». Зачет: 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564BD7" w:rsidRPr="00CC54CD" w:rsidRDefault="00564BD7" w:rsidP="005C62AB">
      <w:pPr>
        <w:spacing w:line="256" w:lineRule="auto"/>
      </w:pPr>
    </w:p>
    <w:p w:rsidR="00CC54CD" w:rsidRPr="00CC54CD" w:rsidRDefault="00CC54CD" w:rsidP="00CC54C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11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CC54CD" w:rsidRPr="00564BD7" w:rsidTr="00CA2040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54CD" w:rsidRPr="00564BD7" w:rsidTr="00CA2040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человека. Роль и значение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аптации организма,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этапов адаптации. Основные компоненты здорового образа жизни и их влияние на здоровье современного человека.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Рациональная организация труда. Оптимизация работоспособности в режиме трудовой деятельности. </w:t>
            </w:r>
          </w:p>
          <w:p w:rsidR="00CC54CD" w:rsidRPr="00564BD7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тренировкой; </w:t>
            </w:r>
          </w:p>
          <w:p w:rsidR="00CC54CD" w:rsidRPr="000C0B53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C0B53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      </w:r>
          </w:p>
          <w:p w:rsidR="00CC54CD" w:rsidRPr="000C0B5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возможные причины возникновения травм во время самостоятельных занятий физической культурой и спортом,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руководствоваться правилами их предупреждения и оказания первой помощи.</w:t>
            </w:r>
          </w:p>
          <w:p w:rsidR="00CC54CD" w:rsidRPr="00564BD7" w:rsidRDefault="00CC54CD" w:rsidP="000C0B53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их проведения (методика Э. Джекобсона; аутогенная тренировка И. Шульца; дыхательная гимнастика А. Н. Стрельниковой;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по методу «Ключ»).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 </w:t>
            </w:r>
          </w:p>
          <w:p w:rsidR="00CC54CD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Банные процедуры, их назначение и правила проведения, основные способы парения.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      </w:r>
          </w:p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      </w:r>
          </w:p>
          <w:p w:rsidR="00CC54CD" w:rsidRPr="00866595" w:rsidRDefault="00CC54CD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4F058A">
        <w:trPr>
          <w:trHeight w:val="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ГТО; способы определения направленности её тренировочных занятий в годичном цикле.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обязательных и дополнительных тестовых упражнений, способы их освоения и оценивания.</w:t>
            </w:r>
          </w:p>
          <w:p w:rsidR="00CC54CD" w:rsidRPr="004F058A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      </w:r>
          </w:p>
          <w:p w:rsidR="00CC54CD" w:rsidRPr="00866595" w:rsidRDefault="00CC54CD" w:rsidP="00CA204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компьютером.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4F058A" w:rsidRDefault="00CC54CD" w:rsidP="004F058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 оздоровительной физической культуры, использовать их для самостоятельных занятий с учётом индивидуальных интересов в физическом развитии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физическом совершенствовании;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</w:t>
            </w:r>
            <w:r w:rsidR="004F058A" w:rsidRPr="004F058A">
              <w:rPr>
                <w:rFonts w:ascii="Times New Roman" w:hAnsi="Times New Roman" w:cs="Times New Roman"/>
                <w:sz w:val="20"/>
                <w:szCs w:val="20"/>
              </w:rPr>
              <w:t>овании кондиционной тренировки;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66595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гимнастической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технику ранее разученных упражнений на гимнастической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спринтерского бега, разучивают её по фазам и в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броска малого мяча в подвижную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CC54CD" w:rsidRPr="0036519F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передвижения на лыжах одновременным одношажным ходом по фазам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стили плавания.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Старты,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осуществляют самоконтроль за физической нагрузкой во время этих занятий.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на воде.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образцом удара по катящемуся мячу с разбега,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 xml:space="preserve">, стойки, захваты,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броски).</w:t>
            </w:r>
          </w:p>
          <w:p w:rsidR="00CC54CD" w:rsidRPr="008A2C84" w:rsidRDefault="00CC54CD" w:rsidP="00CA2040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47E56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руют внимание на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54CD" w:rsidRPr="00564BD7" w:rsidRDefault="00CC54CD" w:rsidP="00CC54CD">
      <w:pPr>
        <w:spacing w:line="256" w:lineRule="auto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CC54CD" w:rsidRPr="00564BD7" w:rsidRDefault="004F058A" w:rsidP="00CC54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 11</w:t>
      </w:r>
      <w:r w:rsidR="00CC54C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CC54CD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CC54CD" w:rsidRPr="00CC54CD" w:rsidTr="00CA204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C54CD" w:rsidRPr="00CC54CD" w:rsidTr="00CA204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современного человека. Роль и значение ад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аптации организма.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здорового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CC54CD" w:rsidRPr="00CC54CD" w:rsidRDefault="004F058A" w:rsidP="004F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4F058A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«профессионально-ориентированна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я физическая культура»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4F058A" w:rsidRDefault="004F058A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из разных положений с последующим ускорением.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CC54CD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методы и процедуры в режиме здорового образа жизни. Релаксация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восстановления после психич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еского и физического напряжения.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Банные процедуры, их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правила проведения, основные способы парения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ГТО.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обязательных и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тестовых упражнений.</w:t>
            </w:r>
          </w:p>
          <w:p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подготовка и особенности планирования её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тренировочным циклам.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 Упражнения ритмической гимнастики.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Игры на лыжах: «С горки на горку», Эстафета с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«Атлетические единоборства». Правила техники безопасности на уроках. Виды единоборств.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приемы в единоборствах.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Защита от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Круговая тренировка.  Правила соревнований.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длинные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CA2040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CC54CD" w:rsidRPr="00CC54CD" w:rsidRDefault="00CC54CD" w:rsidP="00CC54CD">
      <w:pPr>
        <w:spacing w:line="256" w:lineRule="auto"/>
        <w:ind w:hanging="1418"/>
      </w:pPr>
    </w:p>
    <w:p w:rsidR="00CC54CD" w:rsidRPr="00CC54CD" w:rsidRDefault="00CC54CD" w:rsidP="00CC54CD">
      <w:pPr>
        <w:spacing w:line="256" w:lineRule="auto"/>
        <w:ind w:hanging="1418"/>
      </w:pPr>
    </w:p>
    <w:p w:rsidR="00CC54CD" w:rsidRDefault="00CC54CD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</w:t>
      </w:r>
      <w:r w:rsidRPr="000E7F9A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</w:t>
      </w:r>
      <w:proofErr w:type="gram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7" w:history="1">
        <w:r w:rsidRPr="000E7F9A">
          <w:rPr>
            <w:color w:val="0563C1" w:themeColor="hyperlink"/>
            <w:sz w:val="24"/>
            <w:szCs w:val="24"/>
            <w:u w:val="single"/>
            <w:bdr w:val="dashed" w:sz="6" w:space="0" w:color="FF0000" w:frame="1"/>
          </w:rPr>
          <w:t>https://uchi.ru</w:t>
        </w:r>
      </w:hyperlink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0E7F9A" w:rsidRPr="000E7F9A" w:rsidRDefault="000E7F9A" w:rsidP="000E7F9A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0E7F9A">
        <w:rPr>
          <w:rFonts w:ascii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0E7F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Скамья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 w:rsidRPr="000E7F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Рулетка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0E7F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0E7F9A" w:rsidRPr="000E7F9A" w:rsidRDefault="000E7F9A" w:rsidP="000E7F9A">
      <w:pPr>
        <w:tabs>
          <w:tab w:val="left" w:pos="2977"/>
          <w:tab w:val="left" w:pos="4005"/>
        </w:tabs>
        <w:spacing w:line="259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hAnsi="Times New Roman" w:cs="Times New Roman"/>
          <w:sz w:val="24"/>
          <w:szCs w:val="24"/>
        </w:rPr>
        <w:t>Игровое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поле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футбола</w:t>
      </w:r>
      <w:r w:rsidRPr="000E7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0E7F9A" w:rsidRPr="000E7F9A" w:rsidRDefault="000E7F9A" w:rsidP="000E7F9A">
      <w:pPr>
        <w:tabs>
          <w:tab w:val="left" w:pos="4005"/>
        </w:tabs>
        <w:spacing w:line="259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9"/>
    <w:rsid w:val="00047E56"/>
    <w:rsid w:val="000C0B53"/>
    <w:rsid w:val="000E7F9A"/>
    <w:rsid w:val="001E1521"/>
    <w:rsid w:val="00272BEE"/>
    <w:rsid w:val="002E22AE"/>
    <w:rsid w:val="0036519F"/>
    <w:rsid w:val="003A01E4"/>
    <w:rsid w:val="00472DF1"/>
    <w:rsid w:val="00484EF9"/>
    <w:rsid w:val="004F058A"/>
    <w:rsid w:val="00554BE4"/>
    <w:rsid w:val="00564BD7"/>
    <w:rsid w:val="005C62AB"/>
    <w:rsid w:val="00627EB9"/>
    <w:rsid w:val="00641986"/>
    <w:rsid w:val="00673D70"/>
    <w:rsid w:val="007105B4"/>
    <w:rsid w:val="00866595"/>
    <w:rsid w:val="008A2C84"/>
    <w:rsid w:val="00B012FB"/>
    <w:rsid w:val="00B83732"/>
    <w:rsid w:val="00B86462"/>
    <w:rsid w:val="00BD72CE"/>
    <w:rsid w:val="00CC54CD"/>
    <w:rsid w:val="00D2600F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7D9A-CFA6-4C8E-94B2-CF15335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15874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2</cp:revision>
  <dcterms:created xsi:type="dcterms:W3CDTF">2023-10-03T09:54:00Z</dcterms:created>
  <dcterms:modified xsi:type="dcterms:W3CDTF">2023-10-03T09:54:00Z</dcterms:modified>
</cp:coreProperties>
</file>